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64" w:rsidRPr="000576BA" w:rsidRDefault="00106233" w:rsidP="000576BA">
      <w:pPr>
        <w:jc w:val="center"/>
        <w:rPr>
          <w:rFonts w:asciiTheme="minorEastAsia" w:hAnsiTheme="minorEastAsia" w:hint="eastAsia"/>
          <w:b/>
          <w:sz w:val="36"/>
          <w:szCs w:val="24"/>
        </w:rPr>
      </w:pPr>
      <w:r w:rsidRPr="000576BA">
        <w:rPr>
          <w:rFonts w:asciiTheme="minorEastAsia" w:hAnsiTheme="minorEastAsia" w:hint="eastAsia"/>
          <w:b/>
          <w:sz w:val="36"/>
          <w:szCs w:val="24"/>
        </w:rPr>
        <w:t>理财规划师</w:t>
      </w:r>
    </w:p>
    <w:p w:rsidR="00106233" w:rsidRDefault="00106233">
      <w:pPr>
        <w:rPr>
          <w:rFonts w:asciiTheme="minorEastAsia" w:hAnsiTheme="minorEastAsia" w:hint="eastAsia"/>
          <w:sz w:val="24"/>
          <w:szCs w:val="24"/>
        </w:rPr>
      </w:pPr>
    </w:p>
    <w:p w:rsidR="00106233" w:rsidRPr="00106233" w:rsidRDefault="00106233" w:rsidP="000576BA">
      <w:pPr>
        <w:widowControl/>
        <w:shd w:val="clear" w:color="auto" w:fill="FFFFFF"/>
        <w:spacing w:line="276" w:lineRule="auto"/>
        <w:jc w:val="left"/>
        <w:outlineLvl w:val="1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106233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职业介绍</w:t>
      </w:r>
      <w:r w:rsidRPr="000576BA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：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理财规划师(Financial Planner)是为客户提供全面理财规划的专业人士。按照中华人民共和国人力资源和社会保障部（原</w:t>
      </w:r>
      <w:hyperlink r:id="rId8" w:tgtFrame="_blank" w:history="1">
        <w:r w:rsidRPr="000576BA">
          <w:rPr>
            <w:rFonts w:asciiTheme="minorEastAsia" w:hAnsiTheme="minorEastAsia" w:cs="Arial"/>
            <w:color w:val="333333"/>
            <w:kern w:val="0"/>
            <w:sz w:val="24"/>
            <w:szCs w:val="24"/>
          </w:rPr>
          <w:t>劳动和社会保障部</w:t>
        </w:r>
      </w:hyperlink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）制定的《理财规划师国家职业标准》，理财规划师是指运用理财规划的原理、技术和方法，针对个人、家庭以及中小企业、机构的理财目标，提供综合性理财咨询服务的人员。理财规划要求提供全方位的服务，因此要求理财规划师要全面掌握各种金融工具及相关法律法规，为客户提供量身订制的、切实可行的理财方案，同时在对方案的不断修正中，满足客户长期的、不断变化的财务需求。</w:t>
      </w:r>
    </w:p>
    <w:p w:rsidR="00106233" w:rsidRPr="000576BA" w:rsidRDefault="00106233" w:rsidP="000576BA">
      <w:pPr>
        <w:spacing w:line="276" w:lineRule="auto"/>
        <w:rPr>
          <w:rFonts w:asciiTheme="minorEastAsia" w:hAnsiTheme="minorEastAsia" w:hint="eastAsia"/>
          <w:sz w:val="24"/>
          <w:szCs w:val="24"/>
        </w:rPr>
      </w:pPr>
    </w:p>
    <w:p w:rsidR="00106233" w:rsidRPr="00106233" w:rsidRDefault="00106233" w:rsidP="000576BA">
      <w:pPr>
        <w:widowControl/>
        <w:shd w:val="clear" w:color="auto" w:fill="FFFFFF"/>
        <w:spacing w:line="276" w:lineRule="auto"/>
        <w:jc w:val="left"/>
        <w:outlineLvl w:val="1"/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</w:pPr>
      <w:r w:rsidRPr="000576BA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报考</w:t>
      </w:r>
      <w:r w:rsidRPr="00106233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对象</w:t>
      </w:r>
      <w:r w:rsidRPr="000576BA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：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（1）银行的个人金融部管理人员、培训经理、业务经理和理财专员。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（2）证券公司的</w:t>
      </w:r>
      <w:hyperlink r:id="rId9" w:tgtFrame="_blank" w:history="1">
        <w:r w:rsidRPr="000576BA">
          <w:rPr>
            <w:rFonts w:asciiTheme="minorEastAsia" w:hAnsiTheme="minorEastAsia" w:cs="Arial"/>
            <w:color w:val="333333"/>
            <w:kern w:val="0"/>
            <w:sz w:val="24"/>
            <w:szCs w:val="24"/>
          </w:rPr>
          <w:t>投资顾问</w:t>
        </w:r>
      </w:hyperlink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和客户经理。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（3）保险公司的培训经理、销售部管理人员、营业部经理、高级业务员。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（4）</w:t>
      </w:r>
      <w:hyperlink r:id="rId10" w:tgtFrame="_blank" w:history="1">
        <w:r w:rsidRPr="000576BA">
          <w:rPr>
            <w:rFonts w:asciiTheme="minorEastAsia" w:hAnsiTheme="minorEastAsia" w:cs="Arial"/>
            <w:color w:val="333333"/>
            <w:kern w:val="0"/>
            <w:sz w:val="24"/>
            <w:szCs w:val="24"/>
          </w:rPr>
          <w:t>基金公司</w:t>
        </w:r>
      </w:hyperlink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、投资中介公司销售经理、客户服务人员。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（5）提供理财咨询的其他专业人员，如财务会计人员等。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（6）各行各业的高级管理人员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（7）有志于从事理财规划的人员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（8</w:t>
      </w:r>
      <w:r w:rsidR="000576BA">
        <w:rPr>
          <w:rFonts w:asciiTheme="minorEastAsia" w:hAnsiTheme="minorEastAsia" w:cs="Arial"/>
          <w:color w:val="333333"/>
          <w:kern w:val="0"/>
          <w:sz w:val="24"/>
          <w:szCs w:val="24"/>
        </w:rPr>
        <w:t>）信托投资、房地产</w:t>
      </w: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等相关人员</w:t>
      </w:r>
    </w:p>
    <w:p w:rsidR="00106233" w:rsidRPr="00106233" w:rsidRDefault="00106233" w:rsidP="000576BA">
      <w:pPr>
        <w:widowControl/>
        <w:shd w:val="clear" w:color="auto" w:fill="FFFFFF"/>
        <w:spacing w:line="276" w:lineRule="auto"/>
        <w:ind w:firstLine="48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（9）高校金融、财会、经济、管理类专业学生，希望进入金融行业的学生</w:t>
      </w:r>
    </w:p>
    <w:p w:rsidR="000576BA" w:rsidRDefault="000576BA" w:rsidP="000576BA">
      <w:pPr>
        <w:pStyle w:val="2"/>
        <w:shd w:val="clear" w:color="auto" w:fill="FFFFFF"/>
        <w:spacing w:before="0" w:beforeAutospacing="0" w:after="0" w:afterAutospacing="0" w:line="276" w:lineRule="auto"/>
        <w:rPr>
          <w:rFonts w:asciiTheme="minorEastAsia" w:eastAsiaTheme="minorEastAsia" w:hAnsiTheme="minorEastAsia" w:hint="eastAsia"/>
          <w:b w:val="0"/>
          <w:bCs w:val="0"/>
          <w:color w:val="000000"/>
          <w:sz w:val="24"/>
          <w:szCs w:val="24"/>
        </w:rPr>
      </w:pPr>
    </w:p>
    <w:p w:rsidR="000576BA" w:rsidRPr="000576BA" w:rsidRDefault="00106233" w:rsidP="000576BA">
      <w:pPr>
        <w:pStyle w:val="2"/>
        <w:shd w:val="clear" w:color="auto" w:fill="FFFFFF"/>
        <w:spacing w:before="0" w:beforeAutospacing="0" w:after="0" w:afterAutospacing="0" w:line="276" w:lineRule="auto"/>
        <w:rPr>
          <w:rFonts w:asciiTheme="minorEastAsia" w:eastAsiaTheme="minorEastAsia" w:hAnsiTheme="minorEastAsia"/>
          <w:bCs w:val="0"/>
          <w:color w:val="000000"/>
          <w:sz w:val="24"/>
          <w:szCs w:val="24"/>
        </w:rPr>
      </w:pPr>
      <w:r w:rsidRPr="000576BA">
        <w:rPr>
          <w:rFonts w:asciiTheme="minorEastAsia" w:eastAsiaTheme="minorEastAsia" w:hAnsiTheme="minorEastAsia" w:hint="eastAsia"/>
          <w:bCs w:val="0"/>
          <w:color w:val="000000"/>
          <w:sz w:val="24"/>
          <w:szCs w:val="24"/>
        </w:rPr>
        <w:t>就业方向</w:t>
      </w:r>
      <w:r w:rsidR="000576BA" w:rsidRPr="000576BA">
        <w:rPr>
          <w:rFonts w:asciiTheme="minorEastAsia" w:eastAsiaTheme="minorEastAsia" w:hAnsiTheme="minorEastAsia" w:hint="eastAsia"/>
          <w:bCs w:val="0"/>
          <w:color w:val="000000"/>
          <w:sz w:val="24"/>
          <w:szCs w:val="24"/>
        </w:rPr>
        <w:t>：</w:t>
      </w:r>
    </w:p>
    <w:p w:rsidR="00106233" w:rsidRPr="000576BA" w:rsidRDefault="000576BA" w:rsidP="000576BA">
      <w:pPr>
        <w:spacing w:line="276" w:lineRule="auto"/>
        <w:ind w:firstLineChars="200" w:firstLine="480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（1）</w:t>
      </w:r>
      <w:r w:rsidR="00106233" w:rsidRPr="000576BA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中央（人民）银行、银行业监督管理委员会、证券业监督管理委员会、保险业监督管理委员会，这是金融业监督管理机构。</w:t>
      </w:r>
    </w:p>
    <w:p w:rsidR="00106233" w:rsidRPr="000576BA" w:rsidRDefault="004B4085" w:rsidP="004B4085">
      <w:pPr>
        <w:spacing w:line="276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（2）</w:t>
      </w:r>
      <w:r w:rsidR="00106233" w:rsidRPr="000576BA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商业银行，包括四大行和股份制商行、城市商业银行、外资银行</w:t>
      </w:r>
      <w:proofErr w:type="gramStart"/>
      <w:r w:rsidR="00106233" w:rsidRPr="000576BA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驻国内</w:t>
      </w:r>
      <w:proofErr w:type="gramEnd"/>
      <w:r w:rsidR="00106233" w:rsidRPr="000576BA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分支机构。</w:t>
      </w:r>
    </w:p>
    <w:p w:rsidR="00106233" w:rsidRPr="000576BA" w:rsidRDefault="000576BA" w:rsidP="000576BA">
      <w:pPr>
        <w:spacing w:line="276" w:lineRule="auto"/>
        <w:ind w:firstLineChars="200" w:firstLine="480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（</w:t>
      </w:r>
      <w:r w:rsidR="004B4085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3</w:t>
      </w:r>
      <w:r w:rsidRPr="00106233">
        <w:rPr>
          <w:rFonts w:asciiTheme="minorEastAsia" w:hAnsiTheme="minorEastAsia" w:cs="Arial"/>
          <w:color w:val="333333"/>
          <w:kern w:val="0"/>
          <w:sz w:val="24"/>
          <w:szCs w:val="24"/>
        </w:rPr>
        <w:t>）</w:t>
      </w:r>
      <w:r w:rsidR="00106233" w:rsidRPr="000576BA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国家开发银行、中国农业发展银行等政策性银行。</w:t>
      </w:r>
    </w:p>
    <w:p w:rsidR="00106233" w:rsidRPr="000576BA" w:rsidRDefault="000576BA" w:rsidP="000576BA">
      <w:pPr>
        <w:spacing w:line="276" w:lineRule="auto"/>
        <w:ind w:firstLineChars="200" w:firstLine="480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  <w:r w:rsidRPr="000576BA">
        <w:rPr>
          <w:rFonts w:asciiTheme="minorEastAsia" w:hAnsiTheme="minorEastAsia" w:cs="Arial"/>
          <w:color w:val="333333"/>
          <w:kern w:val="0"/>
          <w:sz w:val="24"/>
          <w:szCs w:val="24"/>
        </w:rPr>
        <w:t>（</w:t>
      </w:r>
      <w:r w:rsidR="004B4085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4</w:t>
      </w:r>
      <w:r w:rsidRPr="000576BA">
        <w:rPr>
          <w:rFonts w:asciiTheme="minorEastAsia" w:hAnsiTheme="minorEastAsia" w:cs="Arial"/>
          <w:color w:val="333333"/>
          <w:kern w:val="0"/>
          <w:sz w:val="24"/>
          <w:szCs w:val="24"/>
        </w:rPr>
        <w:t>）</w:t>
      </w:r>
      <w:r w:rsidR="00106233" w:rsidRPr="000576BA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证券公司（含基金管理公司）、信托投资公司、金融控股集团等风险性很大的金融公司。</w:t>
      </w:r>
    </w:p>
    <w:p w:rsidR="00106233" w:rsidRPr="000576BA" w:rsidRDefault="000576BA" w:rsidP="000576BA">
      <w:pPr>
        <w:spacing w:line="276" w:lineRule="auto"/>
        <w:ind w:firstLineChars="200" w:firstLine="480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（</w:t>
      </w:r>
      <w:r w:rsidR="004B4085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5</w:t>
      </w: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）</w:t>
      </w:r>
      <w:r w:rsidR="00106233" w:rsidRPr="000576BA">
        <w:rPr>
          <w:rFonts w:asciiTheme="minorEastAsia" w:hAnsiTheme="minorEastAsia" w:cs="Arial"/>
          <w:color w:val="333333"/>
          <w:kern w:val="0"/>
          <w:sz w:val="24"/>
          <w:szCs w:val="24"/>
        </w:rPr>
        <w:t>四大资产管理公司、金融租赁、担保公司。</w:t>
      </w:r>
    </w:p>
    <w:p w:rsidR="00106233" w:rsidRPr="000576BA" w:rsidRDefault="000576BA" w:rsidP="000576BA">
      <w:pPr>
        <w:spacing w:line="276" w:lineRule="auto"/>
        <w:ind w:firstLineChars="200" w:firstLine="480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（</w:t>
      </w:r>
      <w:r w:rsidR="004B4085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6</w:t>
      </w: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）</w:t>
      </w:r>
      <w:r w:rsidR="00106233" w:rsidRPr="000576BA">
        <w:rPr>
          <w:rFonts w:asciiTheme="minorEastAsia" w:hAnsiTheme="minorEastAsia" w:cs="Arial"/>
          <w:color w:val="333333"/>
          <w:kern w:val="0"/>
          <w:sz w:val="24"/>
          <w:szCs w:val="24"/>
        </w:rPr>
        <w:t>保险公司、保险经纪公司。社保基金管理中心或社保局。</w:t>
      </w:r>
    </w:p>
    <w:p w:rsidR="00106233" w:rsidRPr="000576BA" w:rsidRDefault="000576BA" w:rsidP="000576BA">
      <w:pPr>
        <w:spacing w:line="276" w:lineRule="auto"/>
        <w:ind w:firstLineChars="200" w:firstLine="480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（</w:t>
      </w:r>
      <w:r w:rsidR="004B4085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7</w:t>
      </w: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）</w:t>
      </w:r>
      <w:r w:rsidR="00106233" w:rsidRPr="000576BA">
        <w:rPr>
          <w:rFonts w:asciiTheme="minorEastAsia" w:hAnsiTheme="minorEastAsia" w:cs="Arial"/>
          <w:color w:val="333333"/>
          <w:kern w:val="0"/>
          <w:sz w:val="24"/>
          <w:szCs w:val="24"/>
        </w:rPr>
        <w:t>上市（欲上市）股份公司证券部、财务部、证券事务代表、董事会秘书处等。</w:t>
      </w:r>
    </w:p>
    <w:p w:rsidR="00106233" w:rsidRPr="000576BA" w:rsidRDefault="000576BA" w:rsidP="000576BA">
      <w:pPr>
        <w:spacing w:line="276" w:lineRule="auto"/>
        <w:ind w:firstLineChars="200" w:firstLine="480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（</w:t>
      </w:r>
      <w:r w:rsidR="004B4085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8</w:t>
      </w: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）</w:t>
      </w:r>
      <w:r w:rsidR="00106233" w:rsidRPr="000576BA">
        <w:rPr>
          <w:rFonts w:asciiTheme="minorEastAsia" w:hAnsiTheme="minorEastAsia" w:cs="Arial"/>
          <w:color w:val="333333"/>
          <w:kern w:val="0"/>
          <w:sz w:val="24"/>
          <w:szCs w:val="24"/>
        </w:rPr>
        <w:t>国家公务员序列的政府行政机构如财政、审计、海关部门等；高等院校金融财政专业教师；研究机构研究人员。</w:t>
      </w:r>
      <w:bookmarkStart w:id="0" w:name="_GoBack"/>
      <w:bookmarkEnd w:id="0"/>
    </w:p>
    <w:sectPr w:rsidR="00106233" w:rsidRPr="00057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6F3" w:rsidRDefault="00EC06F3" w:rsidP="00106233">
      <w:r>
        <w:separator/>
      </w:r>
    </w:p>
  </w:endnote>
  <w:endnote w:type="continuationSeparator" w:id="0">
    <w:p w:rsidR="00EC06F3" w:rsidRDefault="00EC06F3" w:rsidP="0010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6F3" w:rsidRDefault="00EC06F3" w:rsidP="00106233">
      <w:r>
        <w:separator/>
      </w:r>
    </w:p>
  </w:footnote>
  <w:footnote w:type="continuationSeparator" w:id="0">
    <w:p w:rsidR="00EC06F3" w:rsidRDefault="00EC06F3" w:rsidP="00106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250F"/>
    <w:multiLevelType w:val="hybridMultilevel"/>
    <w:tmpl w:val="74D0D8E0"/>
    <w:lvl w:ilvl="0" w:tplc="1360CC9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231074"/>
    <w:multiLevelType w:val="hybridMultilevel"/>
    <w:tmpl w:val="54828008"/>
    <w:lvl w:ilvl="0" w:tplc="3C24A2AA">
      <w:start w:val="1"/>
      <w:numFmt w:val="decimal"/>
      <w:lvlText w:val="（%1）"/>
      <w:lvlJc w:val="left"/>
      <w:pPr>
        <w:ind w:left="420" w:hanging="420"/>
      </w:pPr>
      <w:rPr>
        <w:rFonts w:asciiTheme="minorEastAsia" w:eastAsiaTheme="minorEastAsia" w:hAnsiTheme="minorEastAsia" w:cs="Arial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2C0220"/>
    <w:multiLevelType w:val="hybridMultilevel"/>
    <w:tmpl w:val="85FA3270"/>
    <w:lvl w:ilvl="0" w:tplc="7E24C514">
      <w:start w:val="1"/>
      <w:numFmt w:val="japaneseCounting"/>
      <w:lvlText w:val="%1、"/>
      <w:lvlJc w:val="left"/>
      <w:pPr>
        <w:ind w:left="420" w:hanging="420"/>
      </w:pPr>
      <w:rPr>
        <w:rFonts w:asciiTheme="minorEastAsia" w:eastAsiaTheme="minorEastAsia" w:hAnsiTheme="minorEastAsia" w:cs="Arial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A147BA"/>
    <w:multiLevelType w:val="hybridMultilevel"/>
    <w:tmpl w:val="399C6FD2"/>
    <w:lvl w:ilvl="0" w:tplc="66E245B2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7E"/>
    <w:rsid w:val="000576BA"/>
    <w:rsid w:val="00106233"/>
    <w:rsid w:val="00330E64"/>
    <w:rsid w:val="004B4085"/>
    <w:rsid w:val="0095547E"/>
    <w:rsid w:val="00EC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0623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6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6233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06233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10623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0623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0623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6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6233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06233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10623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062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5403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9170560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4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79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088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43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82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28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0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82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098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5789090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05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2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8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29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5513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1563715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6882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1756509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5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33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8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6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67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39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14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item/%E5%8A%B3%E5%8A%A8%E5%92%8C%E7%A4%BE%E4%BC%9A%E4%BF%9D%E9%9A%9C%E9%83%A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aike.baidu.com/item/%E5%9F%BA%E9%87%91%E5%85%AC%E5%8F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ike.baidu.com/item/%E6%8A%95%E8%B5%84%E9%A1%BE%E9%97%AE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952</Characters>
  <Application>Microsoft Office Word</Application>
  <DocSecurity>0</DocSecurity>
  <Lines>7</Lines>
  <Paragraphs>2</Paragraphs>
  <ScaleCrop>false</ScaleCrop>
  <Company>理工学院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张翼</dc:creator>
  <cp:keywords/>
  <dc:description/>
  <cp:lastModifiedBy>张翼</cp:lastModifiedBy>
  <cp:revision>4</cp:revision>
  <dcterms:created xsi:type="dcterms:W3CDTF">2017-03-29T07:32:00Z</dcterms:created>
  <dcterms:modified xsi:type="dcterms:W3CDTF">2017-03-29T07:40:00Z</dcterms:modified>
</cp:coreProperties>
</file>